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F9F66" w14:textId="77777777" w:rsidR="00DB086F" w:rsidRDefault="00DB086F" w:rsidP="00DB086F">
      <w:pPr>
        <w:tabs>
          <w:tab w:val="left" w:pos="2127"/>
        </w:tabs>
        <w:jc w:val="center"/>
        <w:rPr>
          <w:b/>
        </w:rPr>
      </w:pPr>
      <w:r>
        <w:rPr>
          <w:b/>
          <w:noProof/>
          <w:lang w:eastAsia="en-NZ"/>
        </w:rPr>
        <w:drawing>
          <wp:inline distT="0" distB="0" distL="0" distR="0" wp14:anchorId="765BCAFB" wp14:editId="3BCAD577">
            <wp:extent cx="2260600" cy="852892"/>
            <wp:effectExtent l="0" t="0" r="6350" b="4445"/>
            <wp:docPr id="3" name="Picture 3" descr="A blu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logo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5627" cy="858562"/>
                    </a:xfrm>
                    <a:prstGeom prst="rect">
                      <a:avLst/>
                    </a:prstGeom>
                  </pic:spPr>
                </pic:pic>
              </a:graphicData>
            </a:graphic>
          </wp:inline>
        </w:drawing>
      </w:r>
    </w:p>
    <w:p w14:paraId="3182D39D" w14:textId="77777777" w:rsidR="00DB086F" w:rsidRDefault="00DB086F" w:rsidP="00DB086F">
      <w:pPr>
        <w:rPr>
          <w:b/>
        </w:rPr>
      </w:pPr>
    </w:p>
    <w:p w14:paraId="02FCF36C" w14:textId="77777777" w:rsidR="00DB086F" w:rsidRDefault="00DB086F" w:rsidP="00DB086F">
      <w:pPr>
        <w:jc w:val="center"/>
        <w:rPr>
          <w:b/>
        </w:rPr>
      </w:pPr>
    </w:p>
    <w:tbl>
      <w:tblPr>
        <w:tblStyle w:val="TableGrid"/>
        <w:tblW w:w="8712" w:type="dxa"/>
        <w:shd w:val="clear" w:color="auto" w:fill="000000"/>
        <w:tblLook w:val="01E0" w:firstRow="1" w:lastRow="1" w:firstColumn="1" w:lastColumn="1" w:noHBand="0" w:noVBand="0"/>
      </w:tblPr>
      <w:tblGrid>
        <w:gridCol w:w="8712"/>
      </w:tblGrid>
      <w:tr w:rsidR="00DB086F" w:rsidRPr="0038219A" w14:paraId="0C83F2A0" w14:textId="77777777" w:rsidTr="009E0FD7">
        <w:trPr>
          <w:trHeight w:val="650"/>
        </w:trPr>
        <w:tc>
          <w:tcPr>
            <w:tcW w:w="8712" w:type="dxa"/>
            <w:tcBorders>
              <w:top w:val="nil"/>
              <w:left w:val="nil"/>
              <w:bottom w:val="nil"/>
              <w:right w:val="nil"/>
            </w:tcBorders>
            <w:shd w:val="clear" w:color="auto" w:fill="00B0F0"/>
          </w:tcPr>
          <w:p w14:paraId="3D13315A" w14:textId="77777777" w:rsidR="00DB086F" w:rsidRPr="0069671E" w:rsidRDefault="00DB086F" w:rsidP="009E0FD7">
            <w:pPr>
              <w:jc w:val="center"/>
              <w:rPr>
                <w:rFonts w:asciiTheme="minorHAnsi" w:hAnsiTheme="minorHAnsi" w:cstheme="minorHAnsi"/>
                <w:b/>
                <w:color w:val="FFFFFF" w:themeColor="background1"/>
              </w:rPr>
            </w:pPr>
            <w:r w:rsidRPr="0069671E">
              <w:rPr>
                <w:rFonts w:asciiTheme="minorHAnsi" w:hAnsiTheme="minorHAnsi" w:cstheme="minorHAnsi"/>
                <w:b/>
                <w:color w:val="FFFFFF" w:themeColor="background1"/>
              </w:rPr>
              <w:t xml:space="preserve">POSITION DESCRIPTION </w:t>
            </w:r>
          </w:p>
          <w:p w14:paraId="24592F9A" w14:textId="5293A2B6" w:rsidR="00DB086F" w:rsidRPr="0069671E" w:rsidRDefault="00D35E55" w:rsidP="009E0FD7">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COMPLIANCE SPECIALIST</w:t>
            </w:r>
          </w:p>
        </w:tc>
      </w:tr>
    </w:tbl>
    <w:p w14:paraId="3CFFA922" w14:textId="77777777" w:rsidR="00DB086F" w:rsidRDefault="00DB086F" w:rsidP="00DB086F">
      <w:pPr>
        <w:rPr>
          <w:rFonts w:asciiTheme="minorHAnsi" w:hAnsiTheme="minorHAnsi" w:cstheme="minorHAnsi"/>
          <w:sz w:val="22"/>
          <w:szCs w:val="22"/>
        </w:rPr>
      </w:pPr>
    </w:p>
    <w:p w14:paraId="3708625B" w14:textId="344F00B8" w:rsidR="00DB086F" w:rsidRPr="00A4054F" w:rsidRDefault="00DB086F" w:rsidP="00DB086F">
      <w:pPr>
        <w:rPr>
          <w:rFonts w:asciiTheme="minorHAnsi" w:hAnsiTheme="minorHAnsi" w:cstheme="minorHAnsi"/>
          <w:sz w:val="22"/>
          <w:szCs w:val="22"/>
        </w:rPr>
      </w:pP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22"/>
        <w:gridCol w:w="91"/>
      </w:tblGrid>
      <w:tr w:rsidR="00DB086F" w:rsidRPr="00A4054F" w14:paraId="05CA1B5A" w14:textId="77777777" w:rsidTr="009E0FD7">
        <w:tc>
          <w:tcPr>
            <w:tcW w:w="8613" w:type="dxa"/>
            <w:gridSpan w:val="2"/>
          </w:tcPr>
          <w:p w14:paraId="57B21134" w14:textId="1DC13E3C" w:rsidR="00DB086F" w:rsidRDefault="00DB086F" w:rsidP="009E0FD7">
            <w:pPr>
              <w:rPr>
                <w:rFonts w:asciiTheme="minorHAnsi" w:hAnsiTheme="minorHAnsi" w:cstheme="minorHAnsi"/>
                <w:sz w:val="22"/>
                <w:szCs w:val="22"/>
              </w:rPr>
            </w:pPr>
            <w:r w:rsidRPr="00A4054F">
              <w:rPr>
                <w:rFonts w:asciiTheme="minorHAnsi" w:hAnsiTheme="minorHAnsi" w:cstheme="minorHAnsi"/>
                <w:b/>
                <w:sz w:val="22"/>
                <w:szCs w:val="22"/>
              </w:rPr>
              <w:t>Reports to:</w:t>
            </w:r>
            <w:r>
              <w:rPr>
                <w:rFonts w:asciiTheme="minorHAnsi" w:hAnsiTheme="minorHAnsi" w:cstheme="minorHAnsi"/>
                <w:sz w:val="22"/>
                <w:szCs w:val="22"/>
              </w:rPr>
              <w:t xml:space="preserve">  Chief Executive Officer</w:t>
            </w:r>
          </w:p>
          <w:p w14:paraId="1928120A" w14:textId="77777777" w:rsidR="00DB086F" w:rsidRDefault="00DB086F" w:rsidP="009E0FD7">
            <w:pPr>
              <w:rPr>
                <w:rFonts w:asciiTheme="minorHAnsi" w:hAnsiTheme="minorHAnsi" w:cstheme="minorHAnsi"/>
                <w:sz w:val="22"/>
                <w:szCs w:val="22"/>
              </w:rPr>
            </w:pPr>
          </w:p>
          <w:p w14:paraId="3148C31B" w14:textId="77777777" w:rsidR="00DB086F" w:rsidRPr="004554E3" w:rsidRDefault="00DB086F" w:rsidP="009E0FD7">
            <w:pPr>
              <w:rPr>
                <w:rFonts w:asciiTheme="minorHAnsi" w:hAnsiTheme="minorHAnsi" w:cstheme="minorHAnsi"/>
                <w:b/>
                <w:sz w:val="22"/>
                <w:szCs w:val="22"/>
              </w:rPr>
            </w:pPr>
            <w:r w:rsidRPr="004554E3">
              <w:rPr>
                <w:rFonts w:asciiTheme="minorHAnsi" w:hAnsiTheme="minorHAnsi" w:cstheme="minorHAnsi"/>
                <w:b/>
                <w:sz w:val="22"/>
                <w:szCs w:val="22"/>
              </w:rPr>
              <w:t xml:space="preserve">Relationships:  </w:t>
            </w:r>
          </w:p>
          <w:p w14:paraId="4F71A27F" w14:textId="2791BC83" w:rsidR="00DB086F" w:rsidRDefault="00DB086F" w:rsidP="009E0FD7">
            <w:pPr>
              <w:rPr>
                <w:rFonts w:asciiTheme="minorHAnsi" w:hAnsiTheme="minorHAnsi" w:cstheme="minorHAnsi"/>
                <w:sz w:val="22"/>
                <w:szCs w:val="22"/>
              </w:rPr>
            </w:pPr>
            <w:r>
              <w:rPr>
                <w:rFonts w:asciiTheme="minorHAnsi" w:hAnsiTheme="minorHAnsi" w:cstheme="minorHAnsi"/>
                <w:sz w:val="22"/>
                <w:szCs w:val="22"/>
              </w:rPr>
              <w:t xml:space="preserve">The </w:t>
            </w:r>
            <w:r w:rsidR="00D35E55">
              <w:rPr>
                <w:rFonts w:asciiTheme="minorHAnsi" w:hAnsiTheme="minorHAnsi" w:cstheme="minorHAnsi"/>
                <w:sz w:val="22"/>
                <w:szCs w:val="22"/>
              </w:rPr>
              <w:t>Compliance Specialist will work closely with the Operational Risk &amp; Training Manager and the Compliance Team</w:t>
            </w:r>
            <w:r>
              <w:rPr>
                <w:rFonts w:asciiTheme="minorHAnsi" w:hAnsiTheme="minorHAnsi" w:cstheme="minorHAnsi"/>
                <w:sz w:val="22"/>
                <w:szCs w:val="22"/>
              </w:rPr>
              <w:t xml:space="preserve">.  </w:t>
            </w:r>
          </w:p>
          <w:p w14:paraId="5573CB1C" w14:textId="77777777" w:rsidR="00DB086F" w:rsidRDefault="00DB086F" w:rsidP="009E0FD7">
            <w:pPr>
              <w:rPr>
                <w:rFonts w:asciiTheme="minorHAnsi" w:hAnsiTheme="minorHAnsi" w:cstheme="minorHAnsi"/>
                <w:sz w:val="22"/>
                <w:szCs w:val="22"/>
              </w:rPr>
            </w:pPr>
          </w:p>
          <w:p w14:paraId="2B54A733" w14:textId="428C1E55" w:rsidR="00DB086F" w:rsidRDefault="00DB086F" w:rsidP="009E0FD7">
            <w:pPr>
              <w:rPr>
                <w:rFonts w:asciiTheme="minorHAnsi" w:hAnsiTheme="minorHAnsi" w:cstheme="minorHAnsi"/>
                <w:b/>
                <w:sz w:val="22"/>
                <w:szCs w:val="22"/>
              </w:rPr>
            </w:pPr>
            <w:r>
              <w:rPr>
                <w:rFonts w:asciiTheme="minorHAnsi" w:hAnsiTheme="minorHAnsi" w:cstheme="minorHAnsi"/>
                <w:b/>
                <w:sz w:val="22"/>
                <w:szCs w:val="22"/>
              </w:rPr>
              <w:t xml:space="preserve">Direct Reports: </w:t>
            </w:r>
            <w:r w:rsidR="00D35E55">
              <w:rPr>
                <w:rFonts w:asciiTheme="minorHAnsi" w:hAnsiTheme="minorHAnsi" w:cstheme="minorHAnsi"/>
                <w:bCs/>
                <w:sz w:val="22"/>
                <w:szCs w:val="22"/>
              </w:rPr>
              <w:t>None initially (potential of dotted lines for the Compliance team)</w:t>
            </w:r>
            <w:r>
              <w:rPr>
                <w:rFonts w:asciiTheme="minorHAnsi" w:hAnsiTheme="minorHAnsi" w:cstheme="minorHAnsi"/>
                <w:b/>
                <w:sz w:val="22"/>
                <w:szCs w:val="22"/>
              </w:rPr>
              <w:t xml:space="preserve"> </w:t>
            </w:r>
          </w:p>
          <w:p w14:paraId="5B55CDEE" w14:textId="34693020" w:rsidR="00DB086F" w:rsidRPr="00A4054F" w:rsidRDefault="00DB086F" w:rsidP="009E0FD7">
            <w:pPr>
              <w:rPr>
                <w:rFonts w:asciiTheme="minorHAnsi" w:hAnsiTheme="minorHAnsi" w:cstheme="minorHAnsi"/>
                <w:sz w:val="22"/>
                <w:szCs w:val="22"/>
              </w:rPr>
            </w:pPr>
          </w:p>
        </w:tc>
      </w:tr>
      <w:tr w:rsidR="00DB086F" w:rsidRPr="00A4054F" w14:paraId="3B2D257D" w14:textId="77777777" w:rsidTr="009E0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PrEx>
        <w:trPr>
          <w:gridAfter w:val="1"/>
          <w:wAfter w:w="91" w:type="dxa"/>
        </w:trPr>
        <w:tc>
          <w:tcPr>
            <w:tcW w:w="8522" w:type="dxa"/>
            <w:tcBorders>
              <w:top w:val="nil"/>
              <w:left w:val="nil"/>
              <w:bottom w:val="nil"/>
              <w:right w:val="nil"/>
            </w:tcBorders>
            <w:shd w:val="clear" w:color="auto" w:fill="00B0F0"/>
          </w:tcPr>
          <w:p w14:paraId="3587F0C9" w14:textId="77777777" w:rsidR="00DB086F" w:rsidRPr="0069671E" w:rsidRDefault="00DB086F" w:rsidP="009E0FD7">
            <w:pPr>
              <w:rPr>
                <w:rFonts w:asciiTheme="minorHAnsi" w:hAnsiTheme="minorHAnsi" w:cstheme="minorHAnsi"/>
                <w:b/>
                <w:color w:val="FFFFFF" w:themeColor="background1"/>
                <w:sz w:val="22"/>
                <w:szCs w:val="22"/>
              </w:rPr>
            </w:pPr>
            <w:r w:rsidRPr="0069671E">
              <w:rPr>
                <w:rFonts w:asciiTheme="minorHAnsi" w:hAnsiTheme="minorHAnsi" w:cstheme="minorHAnsi"/>
                <w:b/>
                <w:color w:val="FFFFFF" w:themeColor="background1"/>
                <w:sz w:val="22"/>
                <w:szCs w:val="22"/>
              </w:rPr>
              <w:t>Job Purpose</w:t>
            </w:r>
          </w:p>
        </w:tc>
      </w:tr>
    </w:tbl>
    <w:p w14:paraId="4E03F76A" w14:textId="77777777" w:rsidR="00DB086F" w:rsidRDefault="00DB086F" w:rsidP="00DB086F"/>
    <w:p w14:paraId="1C7F05EA" w14:textId="48FD3170" w:rsidR="00DB086F" w:rsidRPr="00D35E55" w:rsidRDefault="00A40CFF" w:rsidP="00DB086F">
      <w:pPr>
        <w:rPr>
          <w:rFonts w:asciiTheme="minorHAnsi" w:hAnsiTheme="minorHAnsi"/>
          <w:color w:val="000000" w:themeColor="text1"/>
          <w:sz w:val="22"/>
          <w:szCs w:val="22"/>
          <w:lang w:eastAsia="en-US"/>
        </w:rPr>
      </w:pPr>
      <w:r w:rsidRPr="00A40CFF">
        <w:rPr>
          <w:rFonts w:asciiTheme="minorHAnsi" w:hAnsiTheme="minorHAnsi"/>
          <w:color w:val="000000" w:themeColor="text1"/>
          <w:sz w:val="22"/>
          <w:szCs w:val="22"/>
          <w:lang w:eastAsia="en-US"/>
        </w:rPr>
        <w:t>Lead and maintain Oxford’s core compliance program, including the policy framework, regulatory obligations, monitoring activities, and issue management. This role ensures the business operates with integrity, meets all legal and regulatory requirements, and upholds high standards of customer fairness—while supporting safe and sustainable growth.</w:t>
      </w:r>
    </w:p>
    <w:p w14:paraId="5012B1E1" w14:textId="77777777" w:rsidR="00DB086F" w:rsidRDefault="00DB086F" w:rsidP="00DB086F"/>
    <w:tbl>
      <w:tblPr>
        <w:tblStyle w:val="TableGrid"/>
        <w:tblW w:w="0" w:type="auto"/>
        <w:tblLook w:val="04A0" w:firstRow="1" w:lastRow="0" w:firstColumn="1" w:lastColumn="0" w:noHBand="0" w:noVBand="1"/>
      </w:tblPr>
      <w:tblGrid>
        <w:gridCol w:w="8312"/>
      </w:tblGrid>
      <w:tr w:rsidR="00DB086F" w14:paraId="228B3BCC" w14:textId="77777777" w:rsidTr="009E0FD7">
        <w:tc>
          <w:tcPr>
            <w:tcW w:w="8528" w:type="dxa"/>
            <w:tcBorders>
              <w:top w:val="nil"/>
              <w:left w:val="nil"/>
              <w:bottom w:val="nil"/>
              <w:right w:val="nil"/>
            </w:tcBorders>
            <w:shd w:val="clear" w:color="auto" w:fill="00B0F0"/>
          </w:tcPr>
          <w:p w14:paraId="783EF6B3" w14:textId="766224F7" w:rsidR="00DB086F" w:rsidRPr="007B4FDD" w:rsidRDefault="00DB086F" w:rsidP="009E0FD7">
            <w:pPr>
              <w:rPr>
                <w:rFonts w:asciiTheme="minorHAnsi" w:hAnsiTheme="minorHAnsi"/>
                <w:b/>
                <w:color w:val="FFFFFF" w:themeColor="background1"/>
              </w:rPr>
            </w:pPr>
            <w:r w:rsidRPr="007B4FDD">
              <w:rPr>
                <w:rFonts w:asciiTheme="minorHAnsi" w:hAnsiTheme="minorHAnsi"/>
                <w:b/>
                <w:color w:val="FFFFFF" w:themeColor="background1"/>
              </w:rPr>
              <w:t xml:space="preserve">Key </w:t>
            </w:r>
            <w:r>
              <w:rPr>
                <w:rFonts w:asciiTheme="minorHAnsi" w:hAnsiTheme="minorHAnsi"/>
                <w:b/>
                <w:color w:val="FFFFFF" w:themeColor="background1"/>
              </w:rPr>
              <w:t>Responsibilities</w:t>
            </w:r>
            <w:r w:rsidRPr="007B4FDD">
              <w:rPr>
                <w:rFonts w:asciiTheme="minorHAnsi" w:hAnsiTheme="minorHAnsi"/>
                <w:b/>
                <w:color w:val="FFFFFF" w:themeColor="background1"/>
              </w:rPr>
              <w:t xml:space="preserve"> </w:t>
            </w:r>
          </w:p>
        </w:tc>
      </w:tr>
    </w:tbl>
    <w:p w14:paraId="5281C3DF" w14:textId="77777777" w:rsidR="00DB086F" w:rsidRDefault="00DB086F" w:rsidP="00DB086F"/>
    <w:p w14:paraId="6C1284BB" w14:textId="2BF75734" w:rsidR="00D35E55" w:rsidRPr="00D35E55" w:rsidRDefault="00D35E55" w:rsidP="00D35E55">
      <w:pPr>
        <w:pStyle w:val="ListNumber"/>
        <w:rPr>
          <w:rFonts w:eastAsia="Times New Roman" w:cs="Times New Roman"/>
          <w:b/>
          <w:bCs/>
          <w:color w:val="000000" w:themeColor="text1"/>
          <w:lang w:val="en-NZ"/>
        </w:rPr>
      </w:pPr>
      <w:r w:rsidRPr="00D35E55">
        <w:rPr>
          <w:rFonts w:eastAsia="Times New Roman" w:cs="Times New Roman"/>
          <w:b/>
          <w:bCs/>
          <w:color w:val="000000" w:themeColor="text1"/>
          <w:lang w:val="en-NZ"/>
        </w:rPr>
        <w:t xml:space="preserve">Program </w:t>
      </w:r>
      <w:r>
        <w:rPr>
          <w:rFonts w:eastAsia="Times New Roman" w:cs="Times New Roman"/>
          <w:b/>
          <w:bCs/>
          <w:color w:val="000000" w:themeColor="text1"/>
          <w:lang w:val="en-NZ"/>
        </w:rPr>
        <w:t>O</w:t>
      </w:r>
      <w:r w:rsidRPr="00D35E55">
        <w:rPr>
          <w:rFonts w:eastAsia="Times New Roman" w:cs="Times New Roman"/>
          <w:b/>
          <w:bCs/>
          <w:color w:val="000000" w:themeColor="text1"/>
          <w:lang w:val="en-NZ"/>
        </w:rPr>
        <w:t xml:space="preserve">wnership &amp; </w:t>
      </w:r>
      <w:r>
        <w:rPr>
          <w:rFonts w:eastAsia="Times New Roman" w:cs="Times New Roman"/>
          <w:b/>
          <w:bCs/>
          <w:color w:val="000000" w:themeColor="text1"/>
          <w:lang w:val="en-NZ"/>
        </w:rPr>
        <w:t>R</w:t>
      </w:r>
      <w:r w:rsidRPr="00D35E55">
        <w:rPr>
          <w:rFonts w:eastAsia="Times New Roman" w:cs="Times New Roman"/>
          <w:b/>
          <w:bCs/>
          <w:color w:val="000000" w:themeColor="text1"/>
          <w:lang w:val="en-NZ"/>
        </w:rPr>
        <w:t xml:space="preserve">egulatory </w:t>
      </w:r>
      <w:r>
        <w:rPr>
          <w:rFonts w:eastAsia="Times New Roman" w:cs="Times New Roman"/>
          <w:b/>
          <w:bCs/>
          <w:color w:val="000000" w:themeColor="text1"/>
          <w:lang w:val="en-NZ"/>
        </w:rPr>
        <w:t>O</w:t>
      </w:r>
      <w:r w:rsidRPr="00D35E55">
        <w:rPr>
          <w:rFonts w:eastAsia="Times New Roman" w:cs="Times New Roman"/>
          <w:b/>
          <w:bCs/>
          <w:color w:val="000000" w:themeColor="text1"/>
          <w:lang w:val="en-NZ"/>
        </w:rPr>
        <w:t>versight</w:t>
      </w:r>
    </w:p>
    <w:p w14:paraId="37C3C322" w14:textId="68FF1F97" w:rsidR="00B449A3" w:rsidRDefault="00D35E55" w:rsidP="00D35E55">
      <w:pPr>
        <w:pStyle w:val="ListBullet"/>
        <w:rPr>
          <w:rFonts w:asciiTheme="minorHAnsi" w:hAnsiTheme="minorHAnsi" w:cs="Times New Roman"/>
          <w:color w:val="000000" w:themeColor="text1"/>
          <w:sz w:val="22"/>
          <w:szCs w:val="22"/>
          <w:lang w:val="en-NZ"/>
        </w:rPr>
      </w:pPr>
      <w:r w:rsidRPr="00D35E55">
        <w:rPr>
          <w:rFonts w:asciiTheme="minorHAnsi" w:hAnsiTheme="minorHAnsi" w:cs="Times New Roman"/>
          <w:color w:val="000000" w:themeColor="text1"/>
          <w:sz w:val="22"/>
          <w:szCs w:val="22"/>
          <w:lang w:val="en-NZ"/>
        </w:rPr>
        <w:t>Maintain and update Company P</w:t>
      </w:r>
      <w:r w:rsidR="00B449A3">
        <w:rPr>
          <w:rFonts w:asciiTheme="minorHAnsi" w:hAnsiTheme="minorHAnsi" w:cs="Times New Roman"/>
          <w:color w:val="000000" w:themeColor="text1"/>
          <w:sz w:val="22"/>
          <w:szCs w:val="22"/>
          <w:lang w:val="en-NZ"/>
        </w:rPr>
        <w:t>olicy and compliance frameworks.</w:t>
      </w:r>
      <w:r w:rsidRPr="00D35E55">
        <w:rPr>
          <w:rFonts w:asciiTheme="minorHAnsi" w:hAnsiTheme="minorHAnsi" w:cs="Times New Roman"/>
          <w:color w:val="000000" w:themeColor="text1"/>
          <w:sz w:val="22"/>
          <w:szCs w:val="22"/>
          <w:lang w:val="en-NZ"/>
        </w:rPr>
        <w:t xml:space="preserve"> </w:t>
      </w:r>
    </w:p>
    <w:p w14:paraId="1D7AE708" w14:textId="46812C71" w:rsidR="00D35E55" w:rsidRPr="00D35E55" w:rsidRDefault="00B449A3" w:rsidP="00D35E55">
      <w:pPr>
        <w:pStyle w:val="ListBullet"/>
        <w:rPr>
          <w:rFonts w:asciiTheme="minorHAnsi" w:hAnsiTheme="minorHAnsi" w:cs="Times New Roman"/>
          <w:color w:val="000000" w:themeColor="text1"/>
          <w:sz w:val="22"/>
          <w:szCs w:val="22"/>
          <w:lang w:val="en-NZ"/>
        </w:rPr>
      </w:pPr>
      <w:r>
        <w:rPr>
          <w:rFonts w:asciiTheme="minorHAnsi" w:hAnsiTheme="minorHAnsi" w:cs="Times New Roman"/>
          <w:color w:val="000000" w:themeColor="text1"/>
          <w:sz w:val="22"/>
          <w:szCs w:val="22"/>
          <w:lang w:val="en-NZ"/>
        </w:rPr>
        <w:t>M</w:t>
      </w:r>
      <w:r w:rsidR="00D35E55" w:rsidRPr="00D35E55">
        <w:rPr>
          <w:rFonts w:asciiTheme="minorHAnsi" w:hAnsiTheme="minorHAnsi" w:cs="Times New Roman"/>
          <w:color w:val="000000" w:themeColor="text1"/>
          <w:sz w:val="22"/>
          <w:szCs w:val="22"/>
          <w:lang w:val="en-NZ"/>
        </w:rPr>
        <w:t>anage regulatory oversight and horizon s</w:t>
      </w:r>
      <w:r w:rsidR="00D06A37">
        <w:rPr>
          <w:rFonts w:asciiTheme="minorHAnsi" w:hAnsiTheme="minorHAnsi" w:cs="Times New Roman"/>
          <w:color w:val="000000" w:themeColor="text1"/>
          <w:sz w:val="22"/>
          <w:szCs w:val="22"/>
          <w:lang w:val="en-NZ"/>
        </w:rPr>
        <w:t xml:space="preserve">canning (including but limited Oxford’s requirements under the CCCFA and Responsible Lending Code). </w:t>
      </w:r>
    </w:p>
    <w:p w14:paraId="0EFDE35E" w14:textId="77777777" w:rsidR="00D35E55" w:rsidRPr="00D35E55" w:rsidRDefault="00D35E55" w:rsidP="00D35E55">
      <w:pPr>
        <w:pStyle w:val="ListBullet"/>
        <w:rPr>
          <w:rFonts w:asciiTheme="minorHAnsi" w:hAnsiTheme="minorHAnsi" w:cs="Times New Roman"/>
          <w:color w:val="000000" w:themeColor="text1"/>
          <w:sz w:val="22"/>
          <w:szCs w:val="22"/>
          <w:lang w:val="en-NZ"/>
        </w:rPr>
      </w:pPr>
      <w:r w:rsidRPr="00D35E55">
        <w:rPr>
          <w:rFonts w:asciiTheme="minorHAnsi" w:hAnsiTheme="minorHAnsi" w:cs="Times New Roman"/>
          <w:color w:val="000000" w:themeColor="text1"/>
          <w:sz w:val="22"/>
          <w:szCs w:val="22"/>
          <w:lang w:val="en-NZ"/>
        </w:rPr>
        <w:t>Lead AML/CFT compliance (risk assessment, program documents, CDD/EDD standards, reporting, assurance).</w:t>
      </w:r>
    </w:p>
    <w:p w14:paraId="02D49295" w14:textId="77777777" w:rsidR="00D35E55" w:rsidRPr="00D35E55" w:rsidRDefault="00D35E55" w:rsidP="00D35E55">
      <w:pPr>
        <w:pStyle w:val="ListBullet"/>
        <w:rPr>
          <w:rFonts w:asciiTheme="minorHAnsi" w:hAnsiTheme="minorHAnsi" w:cs="Times New Roman"/>
          <w:color w:val="000000" w:themeColor="text1"/>
          <w:sz w:val="22"/>
          <w:szCs w:val="22"/>
          <w:lang w:val="en-NZ"/>
        </w:rPr>
      </w:pPr>
      <w:r w:rsidRPr="00D35E55">
        <w:rPr>
          <w:rFonts w:asciiTheme="minorHAnsi" w:hAnsiTheme="minorHAnsi" w:cs="Times New Roman"/>
          <w:color w:val="000000" w:themeColor="text1"/>
          <w:sz w:val="22"/>
          <w:szCs w:val="22"/>
          <w:lang w:val="en-NZ"/>
        </w:rPr>
        <w:t>Manage Privacy breach response and Advertising sign-off controls to meet legal and brand requirements.</w:t>
      </w:r>
    </w:p>
    <w:p w14:paraId="3008132E" w14:textId="4FA57EDF" w:rsidR="00D35E55" w:rsidRPr="00D35E55" w:rsidRDefault="00B449A3" w:rsidP="00D35E55">
      <w:pPr>
        <w:pStyle w:val="ListNumber"/>
        <w:rPr>
          <w:rFonts w:eastAsia="Times New Roman" w:cs="Times New Roman"/>
          <w:b/>
          <w:bCs/>
          <w:color w:val="000000" w:themeColor="text1"/>
          <w:lang w:val="en-NZ"/>
        </w:rPr>
      </w:pPr>
      <w:r>
        <w:rPr>
          <w:rFonts w:eastAsia="Times New Roman" w:cs="Times New Roman"/>
          <w:b/>
          <w:bCs/>
          <w:color w:val="000000" w:themeColor="text1"/>
          <w:lang w:val="en-NZ"/>
        </w:rPr>
        <w:t>Quality Assurance &amp; Monitoring</w:t>
      </w:r>
    </w:p>
    <w:p w14:paraId="0E5E6EFC" w14:textId="4F579947" w:rsidR="00B449A3" w:rsidRPr="00D35E55" w:rsidRDefault="00B449A3" w:rsidP="00B449A3">
      <w:pPr>
        <w:pStyle w:val="ListBullet"/>
        <w:rPr>
          <w:rFonts w:asciiTheme="minorHAnsi" w:hAnsiTheme="minorHAnsi" w:cs="Times New Roman"/>
          <w:color w:val="000000" w:themeColor="text1"/>
          <w:sz w:val="22"/>
          <w:szCs w:val="22"/>
          <w:lang w:val="en-NZ"/>
        </w:rPr>
      </w:pPr>
      <w:r w:rsidRPr="00D35E55">
        <w:rPr>
          <w:rFonts w:asciiTheme="minorHAnsi" w:hAnsiTheme="minorHAnsi" w:cs="Times New Roman"/>
          <w:color w:val="000000" w:themeColor="text1"/>
          <w:sz w:val="22"/>
          <w:szCs w:val="22"/>
          <w:lang w:val="en-NZ"/>
        </w:rPr>
        <w:t xml:space="preserve">Coordinate internal </w:t>
      </w:r>
      <w:r>
        <w:rPr>
          <w:rFonts w:asciiTheme="minorHAnsi" w:hAnsiTheme="minorHAnsi" w:cs="Times New Roman"/>
          <w:color w:val="000000" w:themeColor="text1"/>
          <w:sz w:val="22"/>
          <w:szCs w:val="22"/>
          <w:lang w:val="en-NZ"/>
        </w:rPr>
        <w:t>&amp; external</w:t>
      </w:r>
      <w:r w:rsidRPr="00D35E55">
        <w:rPr>
          <w:rFonts w:asciiTheme="minorHAnsi" w:hAnsiTheme="minorHAnsi" w:cs="Times New Roman"/>
          <w:color w:val="000000" w:themeColor="text1"/>
          <w:sz w:val="22"/>
          <w:szCs w:val="22"/>
          <w:lang w:val="en-NZ"/>
        </w:rPr>
        <w:t xml:space="preserve"> audits (</w:t>
      </w:r>
      <w:r>
        <w:rPr>
          <w:rFonts w:asciiTheme="minorHAnsi" w:hAnsiTheme="minorHAnsi" w:cs="Times New Roman"/>
          <w:color w:val="000000" w:themeColor="text1"/>
          <w:sz w:val="22"/>
          <w:szCs w:val="22"/>
          <w:lang w:val="en-NZ"/>
        </w:rPr>
        <w:t>including: lending</w:t>
      </w:r>
      <w:r w:rsidRPr="00D35E55">
        <w:rPr>
          <w:rFonts w:asciiTheme="minorHAnsi" w:hAnsiTheme="minorHAnsi" w:cs="Times New Roman"/>
          <w:color w:val="000000" w:themeColor="text1"/>
          <w:sz w:val="22"/>
          <w:szCs w:val="22"/>
          <w:lang w:val="en-NZ"/>
        </w:rPr>
        <w:t xml:space="preserve">, credit, </w:t>
      </w:r>
      <w:r>
        <w:rPr>
          <w:rFonts w:asciiTheme="minorHAnsi" w:hAnsiTheme="minorHAnsi" w:cs="Times New Roman"/>
          <w:color w:val="000000" w:themeColor="text1"/>
          <w:sz w:val="22"/>
          <w:szCs w:val="22"/>
          <w:lang w:val="en-NZ"/>
        </w:rPr>
        <w:t xml:space="preserve">loan </w:t>
      </w:r>
      <w:r w:rsidRPr="00D35E55">
        <w:rPr>
          <w:rFonts w:asciiTheme="minorHAnsi" w:hAnsiTheme="minorHAnsi" w:cs="Times New Roman"/>
          <w:color w:val="000000" w:themeColor="text1"/>
          <w:sz w:val="22"/>
          <w:szCs w:val="22"/>
          <w:lang w:val="en-NZ"/>
        </w:rPr>
        <w:t>closing, suitability calls); track findings to closure and feed insights to hind-sighting.</w:t>
      </w:r>
    </w:p>
    <w:p w14:paraId="75E902F8" w14:textId="77777777" w:rsidR="00B449A3" w:rsidRPr="00D35E55" w:rsidRDefault="00B449A3" w:rsidP="00B449A3">
      <w:pPr>
        <w:pStyle w:val="ListBullet"/>
        <w:rPr>
          <w:rFonts w:asciiTheme="minorHAnsi" w:hAnsiTheme="minorHAnsi" w:cs="Times New Roman"/>
          <w:color w:val="000000" w:themeColor="text1"/>
          <w:sz w:val="22"/>
          <w:szCs w:val="22"/>
          <w:lang w:val="en-NZ"/>
        </w:rPr>
      </w:pPr>
      <w:r w:rsidRPr="00D35E55">
        <w:rPr>
          <w:rFonts w:asciiTheme="minorHAnsi" w:hAnsiTheme="minorHAnsi" w:cs="Times New Roman"/>
          <w:color w:val="000000" w:themeColor="text1"/>
          <w:sz w:val="22"/>
          <w:szCs w:val="22"/>
          <w:lang w:val="en-NZ"/>
        </w:rPr>
        <w:t>Build compliance monitoring plans; execute control tests; produce dashboards and assurance reports to the CEO and SLT.</w:t>
      </w:r>
    </w:p>
    <w:p w14:paraId="0723EAE5" w14:textId="77777777" w:rsidR="00B449A3" w:rsidRPr="00D35E55" w:rsidRDefault="00B449A3" w:rsidP="00B449A3">
      <w:pPr>
        <w:pStyle w:val="ListBullet"/>
        <w:rPr>
          <w:rFonts w:asciiTheme="minorHAnsi" w:hAnsiTheme="minorHAnsi" w:cs="Times New Roman"/>
          <w:color w:val="000000" w:themeColor="text1"/>
          <w:sz w:val="22"/>
          <w:szCs w:val="22"/>
          <w:lang w:val="en-NZ"/>
        </w:rPr>
      </w:pPr>
      <w:r w:rsidRPr="00D35E55">
        <w:rPr>
          <w:rFonts w:asciiTheme="minorHAnsi" w:hAnsiTheme="minorHAnsi" w:cs="Times New Roman"/>
          <w:color w:val="000000" w:themeColor="text1"/>
          <w:sz w:val="22"/>
          <w:szCs w:val="22"/>
          <w:lang w:val="en-NZ"/>
        </w:rPr>
        <w:t>Maintain registers (issues, breaches, complaints, advertising approvals, audit actions) with clear evidence trails.</w:t>
      </w:r>
    </w:p>
    <w:p w14:paraId="238CB82F" w14:textId="77777777" w:rsidR="00D35E55" w:rsidRPr="00D35E55" w:rsidRDefault="00D35E55" w:rsidP="00D35E55">
      <w:pPr>
        <w:pStyle w:val="ListNumber"/>
        <w:rPr>
          <w:rFonts w:eastAsia="Times New Roman" w:cs="Times New Roman"/>
          <w:b/>
          <w:bCs/>
          <w:color w:val="000000" w:themeColor="text1"/>
          <w:lang w:val="en-NZ"/>
        </w:rPr>
      </w:pPr>
      <w:r w:rsidRPr="00D35E55">
        <w:rPr>
          <w:rFonts w:eastAsia="Times New Roman" w:cs="Times New Roman"/>
          <w:b/>
          <w:bCs/>
          <w:color w:val="000000" w:themeColor="text1"/>
          <w:lang w:val="en-NZ"/>
        </w:rPr>
        <w:t>Training &amp; LMS (core compliance)</w:t>
      </w:r>
    </w:p>
    <w:p w14:paraId="6882B26C" w14:textId="77777777" w:rsidR="00D35E55" w:rsidRPr="00D35E55" w:rsidRDefault="00D35E55" w:rsidP="00D35E55">
      <w:pPr>
        <w:pStyle w:val="ListBullet"/>
        <w:rPr>
          <w:rFonts w:asciiTheme="minorHAnsi" w:hAnsiTheme="minorHAnsi" w:cs="Times New Roman"/>
          <w:color w:val="000000" w:themeColor="text1"/>
          <w:sz w:val="22"/>
          <w:szCs w:val="22"/>
          <w:lang w:val="en-NZ"/>
        </w:rPr>
      </w:pPr>
      <w:r w:rsidRPr="00D35E55">
        <w:rPr>
          <w:rFonts w:asciiTheme="minorHAnsi" w:hAnsiTheme="minorHAnsi" w:cs="Times New Roman"/>
          <w:color w:val="000000" w:themeColor="text1"/>
          <w:sz w:val="22"/>
          <w:szCs w:val="22"/>
          <w:lang w:val="en-NZ"/>
        </w:rPr>
        <w:t>Own LMS – External compliance modules and the core-compliance portion of LMS – Internal; coordinate where general training sits under Operational Risk &amp; Training.</w:t>
      </w:r>
    </w:p>
    <w:p w14:paraId="7903C0C8" w14:textId="77777777" w:rsidR="00D35E55" w:rsidRPr="00D35E55" w:rsidRDefault="00D35E55" w:rsidP="00D35E55">
      <w:pPr>
        <w:pStyle w:val="ListBullet"/>
        <w:rPr>
          <w:rFonts w:asciiTheme="minorHAnsi" w:hAnsiTheme="minorHAnsi" w:cs="Times New Roman"/>
          <w:color w:val="000000" w:themeColor="text1"/>
          <w:sz w:val="22"/>
          <w:szCs w:val="22"/>
          <w:lang w:val="en-NZ"/>
        </w:rPr>
      </w:pPr>
      <w:r w:rsidRPr="00D35E55">
        <w:rPr>
          <w:rFonts w:asciiTheme="minorHAnsi" w:hAnsiTheme="minorHAnsi" w:cs="Times New Roman"/>
          <w:color w:val="000000" w:themeColor="text1"/>
          <w:sz w:val="22"/>
          <w:szCs w:val="22"/>
          <w:lang w:val="en-NZ"/>
        </w:rPr>
        <w:lastRenderedPageBreak/>
        <w:t>Provide regulatory subject-matter input to training design; co-own compliance control testing that validates training effectiveness.</w:t>
      </w:r>
    </w:p>
    <w:p w14:paraId="488684A0" w14:textId="4169BA46" w:rsidR="00D35E55" w:rsidRPr="00D35E55" w:rsidRDefault="00D35E55" w:rsidP="00D35E55">
      <w:pPr>
        <w:pStyle w:val="ListNumber"/>
        <w:rPr>
          <w:rFonts w:eastAsia="Times New Roman" w:cs="Times New Roman"/>
          <w:b/>
          <w:bCs/>
          <w:color w:val="000000" w:themeColor="text1"/>
          <w:lang w:val="en-NZ"/>
        </w:rPr>
      </w:pPr>
      <w:r w:rsidRPr="00D35E55">
        <w:rPr>
          <w:rFonts w:eastAsia="Times New Roman" w:cs="Times New Roman"/>
          <w:b/>
          <w:bCs/>
          <w:color w:val="000000" w:themeColor="text1"/>
          <w:lang w:val="en-NZ"/>
        </w:rPr>
        <w:t xml:space="preserve">Stakeholder </w:t>
      </w:r>
      <w:r>
        <w:rPr>
          <w:rFonts w:eastAsia="Times New Roman" w:cs="Times New Roman"/>
          <w:b/>
          <w:bCs/>
          <w:color w:val="000000" w:themeColor="text1"/>
          <w:lang w:val="en-NZ"/>
        </w:rPr>
        <w:t>E</w:t>
      </w:r>
      <w:r w:rsidRPr="00D35E55">
        <w:rPr>
          <w:rFonts w:eastAsia="Times New Roman" w:cs="Times New Roman"/>
          <w:b/>
          <w:bCs/>
          <w:color w:val="000000" w:themeColor="text1"/>
          <w:lang w:val="en-NZ"/>
        </w:rPr>
        <w:t>ngagement</w:t>
      </w:r>
    </w:p>
    <w:p w14:paraId="6B9AD5C0" w14:textId="021922B4" w:rsidR="00D35E55" w:rsidRPr="00D35E55" w:rsidRDefault="00D35E55" w:rsidP="00D35E55">
      <w:pPr>
        <w:pStyle w:val="ListBullet"/>
        <w:rPr>
          <w:rFonts w:asciiTheme="minorHAnsi" w:hAnsiTheme="minorHAnsi" w:cs="Times New Roman"/>
          <w:color w:val="000000" w:themeColor="text1"/>
          <w:sz w:val="22"/>
          <w:szCs w:val="22"/>
          <w:lang w:val="en-NZ"/>
        </w:rPr>
      </w:pPr>
      <w:r w:rsidRPr="00D35E55">
        <w:rPr>
          <w:rFonts w:asciiTheme="minorHAnsi" w:hAnsiTheme="minorHAnsi" w:cs="Times New Roman"/>
          <w:color w:val="000000" w:themeColor="text1"/>
          <w:sz w:val="22"/>
          <w:szCs w:val="22"/>
          <w:lang w:val="en-NZ"/>
        </w:rPr>
        <w:t xml:space="preserve">Liaise with regulators, IFSO, </w:t>
      </w:r>
      <w:r w:rsidR="00D06A37">
        <w:rPr>
          <w:rFonts w:asciiTheme="minorHAnsi" w:hAnsiTheme="minorHAnsi" w:cs="Times New Roman"/>
          <w:color w:val="000000" w:themeColor="text1"/>
          <w:sz w:val="22"/>
          <w:szCs w:val="22"/>
          <w:lang w:val="en-NZ"/>
        </w:rPr>
        <w:t>dealers / brokers</w:t>
      </w:r>
      <w:r w:rsidRPr="00D35E55">
        <w:rPr>
          <w:rFonts w:asciiTheme="minorHAnsi" w:hAnsiTheme="minorHAnsi" w:cs="Times New Roman"/>
          <w:color w:val="000000" w:themeColor="text1"/>
          <w:sz w:val="22"/>
          <w:szCs w:val="22"/>
          <w:lang w:val="en-NZ"/>
        </w:rPr>
        <w:t xml:space="preserve"> on audits and assurance requests</w:t>
      </w:r>
      <w:r w:rsidR="002D51E3">
        <w:rPr>
          <w:rFonts w:asciiTheme="minorHAnsi" w:hAnsiTheme="minorHAnsi" w:cs="Times New Roman"/>
          <w:color w:val="000000" w:themeColor="text1"/>
          <w:sz w:val="22"/>
          <w:szCs w:val="22"/>
          <w:lang w:val="en-NZ"/>
        </w:rPr>
        <w:t xml:space="preserve"> when required</w:t>
      </w:r>
      <w:r w:rsidRPr="00D35E55">
        <w:rPr>
          <w:rFonts w:asciiTheme="minorHAnsi" w:hAnsiTheme="minorHAnsi" w:cs="Times New Roman"/>
          <w:color w:val="000000" w:themeColor="text1"/>
          <w:sz w:val="22"/>
          <w:szCs w:val="22"/>
          <w:lang w:val="en-NZ"/>
        </w:rPr>
        <w:t>; coordinate responses and data provision.</w:t>
      </w:r>
    </w:p>
    <w:p w14:paraId="27CF30E1" w14:textId="77777777" w:rsidR="00D83862" w:rsidRDefault="00D83862" w:rsidP="00D83862"/>
    <w:tbl>
      <w:tblPr>
        <w:tblStyle w:val="TableGrid"/>
        <w:tblW w:w="0" w:type="auto"/>
        <w:shd w:val="clear" w:color="auto" w:fill="000000"/>
        <w:tblLook w:val="01E0" w:firstRow="1" w:lastRow="1" w:firstColumn="1" w:lastColumn="1" w:noHBand="0" w:noVBand="0"/>
      </w:tblPr>
      <w:tblGrid>
        <w:gridCol w:w="8312"/>
      </w:tblGrid>
      <w:tr w:rsidR="00D83862" w:rsidRPr="00A4054F" w14:paraId="6B4ECC58" w14:textId="77777777" w:rsidTr="009E0FD7">
        <w:tc>
          <w:tcPr>
            <w:tcW w:w="8312" w:type="dxa"/>
            <w:tcBorders>
              <w:top w:val="nil"/>
              <w:left w:val="nil"/>
              <w:bottom w:val="nil"/>
              <w:right w:val="nil"/>
            </w:tcBorders>
            <w:shd w:val="clear" w:color="auto" w:fill="00B0F0"/>
          </w:tcPr>
          <w:p w14:paraId="5292F85C" w14:textId="12EC70FB" w:rsidR="00D83862" w:rsidRPr="00B366A6" w:rsidRDefault="00D83862" w:rsidP="009E0FD7">
            <w:pP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Success Measures</w:t>
            </w:r>
          </w:p>
        </w:tc>
      </w:tr>
    </w:tbl>
    <w:p w14:paraId="624C408C" w14:textId="77777777" w:rsidR="00D35E55" w:rsidRPr="00D35E55" w:rsidRDefault="00D35E55" w:rsidP="00D35E55">
      <w:pPr>
        <w:pStyle w:val="ListBullet"/>
        <w:rPr>
          <w:rFonts w:asciiTheme="minorHAnsi" w:hAnsiTheme="minorHAnsi" w:cs="Times New Roman"/>
          <w:color w:val="000000" w:themeColor="text1"/>
          <w:sz w:val="22"/>
          <w:szCs w:val="22"/>
          <w:lang w:val="en-NZ"/>
        </w:rPr>
      </w:pPr>
      <w:r w:rsidRPr="00D35E55">
        <w:rPr>
          <w:rFonts w:asciiTheme="minorHAnsi" w:hAnsiTheme="minorHAnsi" w:cs="Times New Roman"/>
          <w:color w:val="000000" w:themeColor="text1"/>
          <w:sz w:val="22"/>
          <w:szCs w:val="22"/>
          <w:lang w:val="en-NZ"/>
        </w:rPr>
        <w:t>On-time policy updates; audit/assurance results with minimal repeat findings.</w:t>
      </w:r>
    </w:p>
    <w:p w14:paraId="2255159A" w14:textId="77777777" w:rsidR="00D35E55" w:rsidRPr="00D35E55" w:rsidRDefault="00D35E55" w:rsidP="00D35E55">
      <w:pPr>
        <w:pStyle w:val="ListBullet"/>
        <w:rPr>
          <w:rFonts w:asciiTheme="minorHAnsi" w:hAnsiTheme="minorHAnsi" w:cs="Times New Roman"/>
          <w:color w:val="000000" w:themeColor="text1"/>
          <w:sz w:val="22"/>
          <w:szCs w:val="22"/>
          <w:lang w:val="en-NZ"/>
        </w:rPr>
      </w:pPr>
      <w:r w:rsidRPr="00D35E55">
        <w:rPr>
          <w:rFonts w:asciiTheme="minorHAnsi" w:hAnsiTheme="minorHAnsi" w:cs="Times New Roman"/>
          <w:color w:val="000000" w:themeColor="text1"/>
          <w:sz w:val="22"/>
          <w:szCs w:val="22"/>
          <w:lang w:val="en-NZ"/>
        </w:rPr>
        <w:t>Complaint resolution timeliness and quality; sustained reduction in root-cause themes.</w:t>
      </w:r>
    </w:p>
    <w:p w14:paraId="352A6726" w14:textId="77777777" w:rsidR="00D35E55" w:rsidRPr="00D35E55" w:rsidRDefault="00D35E55" w:rsidP="00D35E55">
      <w:pPr>
        <w:pStyle w:val="ListBullet"/>
        <w:rPr>
          <w:rFonts w:asciiTheme="minorHAnsi" w:hAnsiTheme="minorHAnsi" w:cs="Times New Roman"/>
          <w:color w:val="000000" w:themeColor="text1"/>
          <w:sz w:val="22"/>
          <w:szCs w:val="22"/>
          <w:lang w:val="en-NZ"/>
        </w:rPr>
      </w:pPr>
      <w:r w:rsidRPr="00D35E55">
        <w:rPr>
          <w:rFonts w:asciiTheme="minorHAnsi" w:hAnsiTheme="minorHAnsi" w:cs="Times New Roman"/>
          <w:color w:val="000000" w:themeColor="text1"/>
          <w:sz w:val="22"/>
          <w:szCs w:val="22"/>
          <w:lang w:val="en-NZ"/>
        </w:rPr>
        <w:t>Completion of core compliance LMS modules and effectiveness metrics (assessment scores, reduced breaches).</w:t>
      </w:r>
    </w:p>
    <w:p w14:paraId="7AA1F730" w14:textId="77777777" w:rsidR="00DB086F" w:rsidRDefault="00DB086F" w:rsidP="00DB086F"/>
    <w:tbl>
      <w:tblPr>
        <w:tblStyle w:val="TableGrid"/>
        <w:tblW w:w="0" w:type="auto"/>
        <w:shd w:val="clear" w:color="auto" w:fill="000000"/>
        <w:tblLook w:val="01E0" w:firstRow="1" w:lastRow="1" w:firstColumn="1" w:lastColumn="1" w:noHBand="0" w:noVBand="0"/>
      </w:tblPr>
      <w:tblGrid>
        <w:gridCol w:w="8312"/>
      </w:tblGrid>
      <w:tr w:rsidR="00DB086F" w:rsidRPr="00A4054F" w14:paraId="13C61E18" w14:textId="77777777" w:rsidTr="00D83862">
        <w:tc>
          <w:tcPr>
            <w:tcW w:w="8312" w:type="dxa"/>
            <w:tcBorders>
              <w:top w:val="nil"/>
              <w:left w:val="nil"/>
              <w:bottom w:val="nil"/>
              <w:right w:val="nil"/>
            </w:tcBorders>
            <w:shd w:val="clear" w:color="auto" w:fill="00B0F0"/>
          </w:tcPr>
          <w:p w14:paraId="3294DBEF" w14:textId="77777777" w:rsidR="00DB086F" w:rsidRPr="00B366A6" w:rsidRDefault="00DB086F" w:rsidP="009E0FD7">
            <w:pPr>
              <w:rPr>
                <w:rFonts w:asciiTheme="minorHAnsi" w:hAnsiTheme="minorHAnsi" w:cstheme="minorHAnsi"/>
                <w:b/>
                <w:color w:val="FFFFFF" w:themeColor="background1"/>
                <w:sz w:val="22"/>
                <w:szCs w:val="22"/>
              </w:rPr>
            </w:pPr>
            <w:r w:rsidRPr="00B366A6">
              <w:rPr>
                <w:rFonts w:asciiTheme="minorHAnsi" w:hAnsiTheme="minorHAnsi" w:cstheme="minorHAnsi"/>
                <w:b/>
                <w:color w:val="FFFFFF" w:themeColor="background1"/>
                <w:sz w:val="22"/>
                <w:szCs w:val="22"/>
              </w:rPr>
              <w:t>Qualifications, Skills &amp; Experience</w:t>
            </w:r>
          </w:p>
        </w:tc>
      </w:tr>
    </w:tbl>
    <w:p w14:paraId="2A3BB642" w14:textId="77777777" w:rsidR="00D35E55" w:rsidRPr="00D35E55" w:rsidRDefault="00D35E55" w:rsidP="00D35E55">
      <w:pPr>
        <w:pStyle w:val="ListBullet"/>
        <w:rPr>
          <w:rFonts w:asciiTheme="minorHAnsi" w:hAnsiTheme="minorHAnsi" w:cs="Times New Roman"/>
          <w:color w:val="000000" w:themeColor="text1"/>
          <w:sz w:val="22"/>
          <w:szCs w:val="22"/>
          <w:lang w:val="en-NZ"/>
        </w:rPr>
      </w:pPr>
      <w:r w:rsidRPr="00D35E55">
        <w:rPr>
          <w:rFonts w:asciiTheme="minorHAnsi" w:hAnsiTheme="minorHAnsi" w:cs="Times New Roman"/>
          <w:color w:val="000000" w:themeColor="text1"/>
          <w:sz w:val="22"/>
          <w:szCs w:val="22"/>
          <w:lang w:val="en-NZ"/>
        </w:rPr>
        <w:t>5+ years in financial services compliance/assurance roles.</w:t>
      </w:r>
    </w:p>
    <w:p w14:paraId="4FCBC2B7" w14:textId="77777777" w:rsidR="00D35E55" w:rsidRPr="00D35E55" w:rsidRDefault="00D35E55" w:rsidP="00D35E55">
      <w:pPr>
        <w:pStyle w:val="ListBullet"/>
        <w:rPr>
          <w:rFonts w:asciiTheme="minorHAnsi" w:hAnsiTheme="minorHAnsi" w:cs="Times New Roman"/>
          <w:color w:val="000000" w:themeColor="text1"/>
          <w:sz w:val="22"/>
          <w:szCs w:val="22"/>
          <w:lang w:val="en-NZ"/>
        </w:rPr>
      </w:pPr>
      <w:r w:rsidRPr="00D35E55">
        <w:rPr>
          <w:rFonts w:asciiTheme="minorHAnsi" w:hAnsiTheme="minorHAnsi" w:cs="Times New Roman"/>
          <w:color w:val="000000" w:themeColor="text1"/>
          <w:sz w:val="22"/>
          <w:szCs w:val="22"/>
          <w:lang w:val="en-NZ"/>
        </w:rPr>
        <w:t xml:space="preserve">Deep knowledge of AML/CFT, CCCFA, Privacy Act 2020, FTA, Responsible Lending Code, and </w:t>
      </w:r>
      <w:proofErr w:type="spellStart"/>
      <w:r w:rsidRPr="00D35E55">
        <w:rPr>
          <w:rFonts w:asciiTheme="minorHAnsi" w:hAnsiTheme="minorHAnsi" w:cs="Times New Roman"/>
          <w:color w:val="000000" w:themeColor="text1"/>
          <w:sz w:val="22"/>
          <w:szCs w:val="22"/>
          <w:lang w:val="en-NZ"/>
        </w:rPr>
        <w:t>CoFI</w:t>
      </w:r>
      <w:proofErr w:type="spellEnd"/>
      <w:r w:rsidRPr="00D35E55">
        <w:rPr>
          <w:rFonts w:asciiTheme="minorHAnsi" w:hAnsiTheme="minorHAnsi" w:cs="Times New Roman"/>
          <w:color w:val="000000" w:themeColor="text1"/>
          <w:sz w:val="22"/>
          <w:szCs w:val="22"/>
          <w:lang w:val="en-NZ"/>
        </w:rPr>
        <w:t>; experience responding to partner audits and IFSO matters.</w:t>
      </w:r>
    </w:p>
    <w:p w14:paraId="56F9BDEC" w14:textId="77777777" w:rsidR="00D35E55" w:rsidRPr="00D35E55" w:rsidRDefault="00D35E55" w:rsidP="00D35E55">
      <w:pPr>
        <w:pStyle w:val="ListBullet"/>
        <w:rPr>
          <w:rFonts w:asciiTheme="minorHAnsi" w:hAnsiTheme="minorHAnsi" w:cs="Times New Roman"/>
          <w:color w:val="000000" w:themeColor="text1"/>
          <w:sz w:val="22"/>
          <w:szCs w:val="22"/>
          <w:lang w:val="en-NZ"/>
        </w:rPr>
      </w:pPr>
      <w:r w:rsidRPr="00D35E55">
        <w:rPr>
          <w:rFonts w:asciiTheme="minorHAnsi" w:hAnsiTheme="minorHAnsi" w:cs="Times New Roman"/>
          <w:color w:val="000000" w:themeColor="text1"/>
          <w:sz w:val="22"/>
          <w:szCs w:val="22"/>
          <w:lang w:val="en-NZ"/>
        </w:rPr>
        <w:t>Strong technical writing, monitoring/testing, and stakeholder management skills.</w:t>
      </w:r>
    </w:p>
    <w:p w14:paraId="06FDB4B0" w14:textId="77777777" w:rsidR="00DB086F" w:rsidRPr="00A4054F" w:rsidRDefault="00DB086F" w:rsidP="00DB086F">
      <w:pPr>
        <w:rPr>
          <w:rFonts w:asciiTheme="minorHAnsi" w:hAnsiTheme="minorHAnsi" w:cstheme="minorHAnsi"/>
          <w:sz w:val="22"/>
          <w:szCs w:val="22"/>
        </w:rPr>
      </w:pPr>
    </w:p>
    <w:tbl>
      <w:tblPr>
        <w:tblStyle w:val="TableGrid"/>
        <w:tblW w:w="0" w:type="auto"/>
        <w:shd w:val="clear" w:color="auto" w:fill="000000"/>
        <w:tblLook w:val="01E0" w:firstRow="1" w:lastRow="1" w:firstColumn="1" w:lastColumn="1" w:noHBand="0" w:noVBand="0"/>
      </w:tblPr>
      <w:tblGrid>
        <w:gridCol w:w="8312"/>
      </w:tblGrid>
      <w:tr w:rsidR="00DB086F" w:rsidRPr="00A4054F" w14:paraId="5ED4B10C" w14:textId="77777777" w:rsidTr="00D35E55">
        <w:tc>
          <w:tcPr>
            <w:tcW w:w="8312" w:type="dxa"/>
            <w:tcBorders>
              <w:top w:val="nil"/>
              <w:left w:val="nil"/>
              <w:bottom w:val="nil"/>
              <w:right w:val="nil"/>
            </w:tcBorders>
            <w:shd w:val="clear" w:color="auto" w:fill="00B0F0"/>
          </w:tcPr>
          <w:p w14:paraId="4E0988DF" w14:textId="77777777" w:rsidR="00DB086F" w:rsidRPr="00B366A6" w:rsidRDefault="00DB086F" w:rsidP="009E0FD7">
            <w:pPr>
              <w:rPr>
                <w:rFonts w:asciiTheme="minorHAnsi" w:hAnsiTheme="minorHAnsi" w:cstheme="minorHAnsi"/>
                <w:b/>
                <w:color w:val="FFFFFF" w:themeColor="background1"/>
                <w:sz w:val="22"/>
                <w:szCs w:val="22"/>
              </w:rPr>
            </w:pPr>
            <w:r w:rsidRPr="00B366A6">
              <w:rPr>
                <w:rFonts w:asciiTheme="minorHAnsi" w:hAnsiTheme="minorHAnsi" w:cstheme="minorHAnsi"/>
                <w:b/>
                <w:color w:val="FFFFFF" w:themeColor="background1"/>
                <w:sz w:val="22"/>
                <w:szCs w:val="22"/>
              </w:rPr>
              <w:t>Competencies</w:t>
            </w:r>
          </w:p>
        </w:tc>
      </w:tr>
    </w:tbl>
    <w:p w14:paraId="40FB6513" w14:textId="77777777" w:rsidR="00D35E55" w:rsidRPr="00D35E55" w:rsidRDefault="00D35E55" w:rsidP="00D35E55">
      <w:pPr>
        <w:pStyle w:val="ListBullet"/>
        <w:rPr>
          <w:rFonts w:asciiTheme="minorHAnsi" w:hAnsiTheme="minorHAnsi" w:cs="Times New Roman"/>
          <w:color w:val="000000" w:themeColor="text1"/>
          <w:sz w:val="22"/>
          <w:szCs w:val="22"/>
          <w:lang w:val="en-NZ"/>
        </w:rPr>
      </w:pPr>
      <w:r w:rsidRPr="00D35E55">
        <w:rPr>
          <w:rFonts w:asciiTheme="minorHAnsi" w:hAnsiTheme="minorHAnsi" w:cs="Times New Roman"/>
          <w:color w:val="000000" w:themeColor="text1"/>
          <w:sz w:val="22"/>
          <w:szCs w:val="22"/>
          <w:lang w:val="en-NZ"/>
        </w:rPr>
        <w:t>Regulatory acumen and independence</w:t>
      </w:r>
    </w:p>
    <w:p w14:paraId="07615E93" w14:textId="37966C0E" w:rsidR="00D35E55" w:rsidRDefault="00D35E55" w:rsidP="00D35E55">
      <w:pPr>
        <w:pStyle w:val="ListBullet"/>
        <w:rPr>
          <w:rFonts w:asciiTheme="minorHAnsi" w:hAnsiTheme="minorHAnsi" w:cs="Times New Roman"/>
          <w:color w:val="000000" w:themeColor="text1"/>
          <w:sz w:val="22"/>
          <w:szCs w:val="22"/>
          <w:lang w:val="en-NZ"/>
        </w:rPr>
      </w:pPr>
      <w:r w:rsidRPr="00D35E55">
        <w:rPr>
          <w:rFonts w:asciiTheme="minorHAnsi" w:hAnsiTheme="minorHAnsi" w:cs="Times New Roman"/>
          <w:color w:val="000000" w:themeColor="text1"/>
          <w:sz w:val="22"/>
          <w:szCs w:val="22"/>
          <w:lang w:val="en-NZ"/>
        </w:rPr>
        <w:t>Analytical rigor and clear communication</w:t>
      </w:r>
    </w:p>
    <w:p w14:paraId="3D75EA9F" w14:textId="77777777" w:rsidR="00D35E55" w:rsidRPr="00D35E55" w:rsidRDefault="00D35E55" w:rsidP="00D35E55">
      <w:pPr>
        <w:pStyle w:val="ListBullet"/>
        <w:rPr>
          <w:rFonts w:asciiTheme="minorHAnsi" w:hAnsiTheme="minorHAnsi" w:cs="Times New Roman"/>
          <w:color w:val="000000" w:themeColor="text1"/>
          <w:sz w:val="22"/>
          <w:szCs w:val="22"/>
          <w:lang w:val="en-NZ"/>
        </w:rPr>
      </w:pPr>
      <w:r w:rsidRPr="00D35E55">
        <w:rPr>
          <w:rFonts w:asciiTheme="minorHAnsi" w:hAnsiTheme="minorHAnsi" w:cs="Times New Roman"/>
          <w:color w:val="000000" w:themeColor="text1"/>
          <w:sz w:val="22"/>
          <w:szCs w:val="22"/>
          <w:lang w:val="en-NZ"/>
        </w:rPr>
        <w:t>Customer fairness and collaboration</w:t>
      </w:r>
      <w:bookmarkStart w:id="0" w:name="_GoBack"/>
      <w:bookmarkEnd w:id="0"/>
    </w:p>
    <w:p w14:paraId="794EF798" w14:textId="77777777" w:rsidR="007E2D4F" w:rsidRPr="00D83862" w:rsidRDefault="007E2D4F" w:rsidP="00D83862">
      <w:pPr>
        <w:pStyle w:val="ListBullet"/>
        <w:numPr>
          <w:ilvl w:val="0"/>
          <w:numId w:val="0"/>
        </w:numPr>
        <w:ind w:left="360"/>
        <w:rPr>
          <w:rFonts w:asciiTheme="minorHAnsi" w:hAnsiTheme="minorHAnsi" w:cs="Times New Roman"/>
          <w:color w:val="000000" w:themeColor="text1"/>
          <w:sz w:val="22"/>
          <w:szCs w:val="22"/>
          <w:lang w:val="en-NZ"/>
        </w:rPr>
      </w:pPr>
    </w:p>
    <w:sectPr w:rsidR="007E2D4F" w:rsidRPr="00D83862" w:rsidSect="00DB086F">
      <w:headerReference w:type="default" r:id="rId8"/>
      <w:footerReference w:type="default" r:id="rId9"/>
      <w:pgSz w:w="11906" w:h="16838"/>
      <w:pgMar w:top="900" w:right="1797" w:bottom="5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F6922" w14:textId="77777777" w:rsidR="00000000" w:rsidRDefault="001A0577">
      <w:r>
        <w:separator/>
      </w:r>
    </w:p>
  </w:endnote>
  <w:endnote w:type="continuationSeparator" w:id="0">
    <w:p w14:paraId="38415481" w14:textId="77777777" w:rsidR="00000000" w:rsidRDefault="001A0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055947"/>
      <w:docPartObj>
        <w:docPartGallery w:val="Page Numbers (Bottom of Page)"/>
        <w:docPartUnique/>
      </w:docPartObj>
    </w:sdtPr>
    <w:sdtEndPr/>
    <w:sdtContent>
      <w:p w14:paraId="7690B098" w14:textId="359F7D93" w:rsidR="00DB086F" w:rsidRDefault="00DB086F">
        <w:pPr>
          <w:pStyle w:val="Footer"/>
          <w:jc w:val="right"/>
        </w:pPr>
        <w:r w:rsidRPr="00B61DC7">
          <w:rPr>
            <w:rFonts w:asciiTheme="minorHAnsi" w:hAnsiTheme="minorHAnsi" w:cstheme="minorHAnsi"/>
            <w:sz w:val="16"/>
            <w:szCs w:val="16"/>
          </w:rPr>
          <w:fldChar w:fldCharType="begin"/>
        </w:r>
        <w:r w:rsidRPr="00B61DC7">
          <w:rPr>
            <w:rFonts w:asciiTheme="minorHAnsi" w:hAnsiTheme="minorHAnsi" w:cstheme="minorHAnsi"/>
            <w:sz w:val="16"/>
            <w:szCs w:val="16"/>
          </w:rPr>
          <w:instrText xml:space="preserve"> PAGE   \* MERGEFORMAT </w:instrText>
        </w:r>
        <w:r w:rsidRPr="00B61DC7">
          <w:rPr>
            <w:rFonts w:asciiTheme="minorHAnsi" w:hAnsiTheme="minorHAnsi" w:cstheme="minorHAnsi"/>
            <w:sz w:val="16"/>
            <w:szCs w:val="16"/>
          </w:rPr>
          <w:fldChar w:fldCharType="separate"/>
        </w:r>
        <w:r w:rsidR="001A0577">
          <w:rPr>
            <w:rFonts w:asciiTheme="minorHAnsi" w:hAnsiTheme="minorHAnsi" w:cstheme="minorHAnsi"/>
            <w:noProof/>
            <w:sz w:val="16"/>
            <w:szCs w:val="16"/>
          </w:rPr>
          <w:t>2</w:t>
        </w:r>
        <w:r w:rsidRPr="00B61DC7">
          <w:rPr>
            <w:rFonts w:asciiTheme="minorHAnsi" w:hAnsiTheme="minorHAnsi" w:cstheme="minorHAnsi"/>
            <w:sz w:val="16"/>
            <w:szCs w:val="16"/>
          </w:rPr>
          <w:fldChar w:fldCharType="end"/>
        </w:r>
      </w:p>
    </w:sdtContent>
  </w:sdt>
  <w:p w14:paraId="27D39C39" w14:textId="77777777" w:rsidR="00DB086F" w:rsidRDefault="00DB0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DA406" w14:textId="77777777" w:rsidR="00000000" w:rsidRDefault="001A0577">
      <w:r>
        <w:separator/>
      </w:r>
    </w:p>
  </w:footnote>
  <w:footnote w:type="continuationSeparator" w:id="0">
    <w:p w14:paraId="5EC64208" w14:textId="77777777" w:rsidR="00000000" w:rsidRDefault="001A0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27E61" w14:textId="77777777" w:rsidR="00DB086F" w:rsidRDefault="00DB0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3BEB028"/>
    <w:lvl w:ilvl="0">
      <w:start w:val="1"/>
      <w:numFmt w:val="decimal"/>
      <w:pStyle w:val="ListNumber"/>
      <w:lvlText w:val="%1."/>
      <w:lvlJc w:val="left"/>
      <w:pPr>
        <w:tabs>
          <w:tab w:val="num" w:pos="360"/>
        </w:tabs>
        <w:ind w:left="360" w:hanging="360"/>
      </w:pPr>
    </w:lvl>
  </w:abstractNum>
  <w:abstractNum w:abstractNumId="1" w15:restartNumberingAfterBreak="0">
    <w:nsid w:val="16695E45"/>
    <w:multiLevelType w:val="hybridMultilevel"/>
    <w:tmpl w:val="A4EA2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356F39"/>
    <w:multiLevelType w:val="hybridMultilevel"/>
    <w:tmpl w:val="D9169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3E382E"/>
    <w:multiLevelType w:val="hybridMultilevel"/>
    <w:tmpl w:val="C562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3F53BF"/>
    <w:multiLevelType w:val="hybridMultilevel"/>
    <w:tmpl w:val="5B30D0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CC6F6B"/>
    <w:multiLevelType w:val="hybridMultilevel"/>
    <w:tmpl w:val="3B5472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7924DDA"/>
    <w:multiLevelType w:val="hybridMultilevel"/>
    <w:tmpl w:val="F5E031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2506A0F"/>
    <w:multiLevelType w:val="hybridMultilevel"/>
    <w:tmpl w:val="2A5ED0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7840C97"/>
    <w:multiLevelType w:val="hybridMultilevel"/>
    <w:tmpl w:val="5F0E0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A11A73"/>
    <w:multiLevelType w:val="hybridMultilevel"/>
    <w:tmpl w:val="9AB2036E"/>
    <w:lvl w:ilvl="0" w:tplc="DA00E3BE">
      <w:start w:val="1"/>
      <w:numFmt w:val="bullet"/>
      <w:pStyle w:val="ListBullet"/>
      <w:lvlText w:val=""/>
      <w:lvlJc w:val="left"/>
      <w:pPr>
        <w:tabs>
          <w:tab w:val="num" w:pos="486"/>
        </w:tabs>
        <w:ind w:left="486" w:hanging="360"/>
      </w:pPr>
      <w:rPr>
        <w:rFonts w:ascii="Wingdings" w:hAnsi="Wingdings" w:hint="default"/>
      </w:rPr>
    </w:lvl>
    <w:lvl w:ilvl="1" w:tplc="FFFFFFFF">
      <w:start w:val="1"/>
      <w:numFmt w:val="bullet"/>
      <w:lvlText w:val="o"/>
      <w:lvlJc w:val="left"/>
      <w:pPr>
        <w:tabs>
          <w:tab w:val="num" w:pos="1206"/>
        </w:tabs>
        <w:ind w:left="1206" w:hanging="360"/>
      </w:pPr>
      <w:rPr>
        <w:rFonts w:ascii="Courier New" w:hAnsi="Courier New" w:cs="Times New Roman" w:hint="default"/>
      </w:rPr>
    </w:lvl>
    <w:lvl w:ilvl="2" w:tplc="FFFFFFFF">
      <w:start w:val="1"/>
      <w:numFmt w:val="bullet"/>
      <w:lvlText w:val=""/>
      <w:lvlJc w:val="left"/>
      <w:pPr>
        <w:tabs>
          <w:tab w:val="num" w:pos="1926"/>
        </w:tabs>
        <w:ind w:left="1926" w:hanging="360"/>
      </w:pPr>
      <w:rPr>
        <w:rFonts w:ascii="Wingdings" w:hAnsi="Wingdings" w:hint="default"/>
      </w:rPr>
    </w:lvl>
    <w:lvl w:ilvl="3" w:tplc="FFFFFFFF">
      <w:start w:val="1"/>
      <w:numFmt w:val="bullet"/>
      <w:lvlText w:val=""/>
      <w:lvlJc w:val="left"/>
      <w:pPr>
        <w:tabs>
          <w:tab w:val="num" w:pos="2646"/>
        </w:tabs>
        <w:ind w:left="2646" w:hanging="360"/>
      </w:pPr>
      <w:rPr>
        <w:rFonts w:ascii="Symbol" w:hAnsi="Symbol" w:hint="default"/>
      </w:rPr>
    </w:lvl>
    <w:lvl w:ilvl="4" w:tplc="FFFFFFFF">
      <w:start w:val="1"/>
      <w:numFmt w:val="bullet"/>
      <w:lvlText w:val="o"/>
      <w:lvlJc w:val="left"/>
      <w:pPr>
        <w:tabs>
          <w:tab w:val="num" w:pos="3366"/>
        </w:tabs>
        <w:ind w:left="3366" w:hanging="360"/>
      </w:pPr>
      <w:rPr>
        <w:rFonts w:ascii="Courier New" w:hAnsi="Courier New" w:cs="Times New Roman" w:hint="default"/>
      </w:rPr>
    </w:lvl>
    <w:lvl w:ilvl="5" w:tplc="FFFFFFFF">
      <w:start w:val="1"/>
      <w:numFmt w:val="bullet"/>
      <w:lvlText w:val=""/>
      <w:lvlJc w:val="left"/>
      <w:pPr>
        <w:tabs>
          <w:tab w:val="num" w:pos="4086"/>
        </w:tabs>
        <w:ind w:left="4086" w:hanging="360"/>
      </w:pPr>
      <w:rPr>
        <w:rFonts w:ascii="Wingdings" w:hAnsi="Wingdings" w:hint="default"/>
      </w:rPr>
    </w:lvl>
    <w:lvl w:ilvl="6" w:tplc="FFFFFFFF">
      <w:start w:val="1"/>
      <w:numFmt w:val="bullet"/>
      <w:lvlText w:val=""/>
      <w:lvlJc w:val="left"/>
      <w:pPr>
        <w:tabs>
          <w:tab w:val="num" w:pos="4806"/>
        </w:tabs>
        <w:ind w:left="4806" w:hanging="360"/>
      </w:pPr>
      <w:rPr>
        <w:rFonts w:ascii="Symbol" w:hAnsi="Symbol" w:hint="default"/>
      </w:rPr>
    </w:lvl>
    <w:lvl w:ilvl="7" w:tplc="FFFFFFFF">
      <w:start w:val="1"/>
      <w:numFmt w:val="bullet"/>
      <w:lvlText w:val="o"/>
      <w:lvlJc w:val="left"/>
      <w:pPr>
        <w:tabs>
          <w:tab w:val="num" w:pos="5526"/>
        </w:tabs>
        <w:ind w:left="5526" w:hanging="360"/>
      </w:pPr>
      <w:rPr>
        <w:rFonts w:ascii="Courier New" w:hAnsi="Courier New" w:cs="Times New Roman" w:hint="default"/>
      </w:rPr>
    </w:lvl>
    <w:lvl w:ilvl="8" w:tplc="FFFFFFFF">
      <w:start w:val="1"/>
      <w:numFmt w:val="bullet"/>
      <w:lvlText w:val=""/>
      <w:lvlJc w:val="left"/>
      <w:pPr>
        <w:tabs>
          <w:tab w:val="num" w:pos="6246"/>
        </w:tabs>
        <w:ind w:left="6246" w:hanging="360"/>
      </w:pPr>
      <w:rPr>
        <w:rFonts w:ascii="Wingdings" w:hAnsi="Wingdings" w:hint="default"/>
      </w:rPr>
    </w:lvl>
  </w:abstractNum>
  <w:abstractNum w:abstractNumId="10" w15:restartNumberingAfterBreak="0">
    <w:nsid w:val="706C3075"/>
    <w:multiLevelType w:val="hybridMultilevel"/>
    <w:tmpl w:val="81F07AD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9"/>
  </w:num>
  <w:num w:numId="2">
    <w:abstractNumId w:val="4"/>
  </w:num>
  <w:num w:numId="3">
    <w:abstractNumId w:val="5"/>
  </w:num>
  <w:num w:numId="4">
    <w:abstractNumId w:val="8"/>
  </w:num>
  <w:num w:numId="5">
    <w:abstractNumId w:val="1"/>
  </w:num>
  <w:num w:numId="6">
    <w:abstractNumId w:val="3"/>
  </w:num>
  <w:num w:numId="7">
    <w:abstractNumId w:val="2"/>
  </w:num>
  <w:num w:numId="8">
    <w:abstractNumId w:val="7"/>
  </w:num>
  <w:num w:numId="9">
    <w:abstractNumId w:val="6"/>
  </w:num>
  <w:num w:numId="10">
    <w:abstractNumId w:val="10"/>
  </w:num>
  <w:num w:numId="11">
    <w:abstractNumId w:val="0"/>
  </w:num>
  <w:num w:numId="12">
    <w:abstractNumId w:val="9"/>
  </w:num>
  <w:num w:numId="13">
    <w:abstractNumId w:val="9"/>
  </w:num>
  <w:num w:numId="14">
    <w:abstractNumId w:val="9"/>
  </w:num>
  <w:num w:numId="15">
    <w:abstractNumId w:val="9"/>
  </w:num>
  <w:num w:numId="16">
    <w:abstractNumId w:val="9"/>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86F"/>
    <w:rsid w:val="001A0577"/>
    <w:rsid w:val="002D51E3"/>
    <w:rsid w:val="00313A9F"/>
    <w:rsid w:val="003C4BC5"/>
    <w:rsid w:val="006220BB"/>
    <w:rsid w:val="007E2D4F"/>
    <w:rsid w:val="009230FA"/>
    <w:rsid w:val="00A40CFF"/>
    <w:rsid w:val="00B449A3"/>
    <w:rsid w:val="00D06A37"/>
    <w:rsid w:val="00D35E55"/>
    <w:rsid w:val="00D56251"/>
    <w:rsid w:val="00D83862"/>
    <w:rsid w:val="00DB086F"/>
    <w:rsid w:val="00DE361F"/>
    <w:rsid w:val="00E9591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39E3"/>
  <w15:chartTrackingRefBased/>
  <w15:docId w15:val="{E7E32643-37E8-4102-9FF0-655D7124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86F"/>
    <w:pPr>
      <w:spacing w:after="0" w:line="240" w:lineRule="auto"/>
    </w:pPr>
    <w:rPr>
      <w:rFonts w:ascii="Arial Narrow" w:eastAsia="Times New Roman" w:hAnsi="Arial Narrow" w:cs="Times New Roman"/>
      <w:kern w:val="0"/>
      <w:sz w:val="24"/>
      <w:szCs w:val="24"/>
      <w:lang w:eastAsia="en-GB"/>
      <w14:ligatures w14:val="none"/>
    </w:rPr>
  </w:style>
  <w:style w:type="paragraph" w:styleId="Heading1">
    <w:name w:val="heading 1"/>
    <w:basedOn w:val="Normal"/>
    <w:next w:val="Normal"/>
    <w:link w:val="Heading1Char"/>
    <w:qFormat/>
    <w:rsid w:val="00DB0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8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8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8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8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8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8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8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8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8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8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8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8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86F"/>
    <w:rPr>
      <w:rFonts w:eastAsiaTheme="majorEastAsia" w:cstheme="majorBidi"/>
      <w:color w:val="272727" w:themeColor="text1" w:themeTint="D8"/>
    </w:rPr>
  </w:style>
  <w:style w:type="paragraph" w:styleId="Title">
    <w:name w:val="Title"/>
    <w:basedOn w:val="Normal"/>
    <w:next w:val="Normal"/>
    <w:link w:val="TitleChar"/>
    <w:uiPriority w:val="10"/>
    <w:qFormat/>
    <w:rsid w:val="00DB08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8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86F"/>
    <w:pPr>
      <w:spacing w:before="160"/>
      <w:jc w:val="center"/>
    </w:pPr>
    <w:rPr>
      <w:i/>
      <w:iCs/>
      <w:color w:val="404040" w:themeColor="text1" w:themeTint="BF"/>
    </w:rPr>
  </w:style>
  <w:style w:type="character" w:customStyle="1" w:styleId="QuoteChar">
    <w:name w:val="Quote Char"/>
    <w:basedOn w:val="DefaultParagraphFont"/>
    <w:link w:val="Quote"/>
    <w:uiPriority w:val="29"/>
    <w:rsid w:val="00DB086F"/>
    <w:rPr>
      <w:i/>
      <w:iCs/>
      <w:color w:val="404040" w:themeColor="text1" w:themeTint="BF"/>
    </w:rPr>
  </w:style>
  <w:style w:type="paragraph" w:styleId="ListParagraph">
    <w:name w:val="List Paragraph"/>
    <w:basedOn w:val="Normal"/>
    <w:uiPriority w:val="34"/>
    <w:qFormat/>
    <w:rsid w:val="00DB086F"/>
    <w:pPr>
      <w:ind w:left="720"/>
      <w:contextualSpacing/>
    </w:pPr>
  </w:style>
  <w:style w:type="character" w:styleId="IntenseEmphasis">
    <w:name w:val="Intense Emphasis"/>
    <w:basedOn w:val="DefaultParagraphFont"/>
    <w:uiPriority w:val="21"/>
    <w:qFormat/>
    <w:rsid w:val="00DB086F"/>
    <w:rPr>
      <w:i/>
      <w:iCs/>
      <w:color w:val="0F4761" w:themeColor="accent1" w:themeShade="BF"/>
    </w:rPr>
  </w:style>
  <w:style w:type="paragraph" w:styleId="IntenseQuote">
    <w:name w:val="Intense Quote"/>
    <w:basedOn w:val="Normal"/>
    <w:next w:val="Normal"/>
    <w:link w:val="IntenseQuoteChar"/>
    <w:uiPriority w:val="30"/>
    <w:qFormat/>
    <w:rsid w:val="00DB0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86F"/>
    <w:rPr>
      <w:i/>
      <w:iCs/>
      <w:color w:val="0F4761" w:themeColor="accent1" w:themeShade="BF"/>
    </w:rPr>
  </w:style>
  <w:style w:type="character" w:styleId="IntenseReference">
    <w:name w:val="Intense Reference"/>
    <w:basedOn w:val="DefaultParagraphFont"/>
    <w:uiPriority w:val="32"/>
    <w:qFormat/>
    <w:rsid w:val="00DB086F"/>
    <w:rPr>
      <w:b/>
      <w:bCs/>
      <w:smallCaps/>
      <w:color w:val="0F4761" w:themeColor="accent1" w:themeShade="BF"/>
      <w:spacing w:val="5"/>
    </w:rPr>
  </w:style>
  <w:style w:type="table" w:styleId="TableGrid">
    <w:name w:val="Table Grid"/>
    <w:basedOn w:val="TableNormal"/>
    <w:rsid w:val="00DB086F"/>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B086F"/>
    <w:pPr>
      <w:ind w:left="360"/>
    </w:pPr>
    <w:rPr>
      <w:rFonts w:ascii="Arial" w:hAnsi="Arial"/>
      <w:sz w:val="20"/>
      <w:szCs w:val="20"/>
      <w:lang w:val="en-US" w:eastAsia="en-US"/>
    </w:rPr>
  </w:style>
  <w:style w:type="character" w:customStyle="1" w:styleId="BodyTextIndentChar">
    <w:name w:val="Body Text Indent Char"/>
    <w:basedOn w:val="DefaultParagraphFont"/>
    <w:link w:val="BodyTextIndent"/>
    <w:rsid w:val="00DB086F"/>
    <w:rPr>
      <w:rFonts w:ascii="Arial" w:eastAsia="Times New Roman" w:hAnsi="Arial" w:cs="Times New Roman"/>
      <w:kern w:val="0"/>
      <w:sz w:val="20"/>
      <w:szCs w:val="20"/>
      <w:lang w:val="en-US"/>
      <w14:ligatures w14:val="none"/>
    </w:rPr>
  </w:style>
  <w:style w:type="paragraph" w:styleId="Header">
    <w:name w:val="header"/>
    <w:basedOn w:val="Normal"/>
    <w:link w:val="HeaderChar"/>
    <w:rsid w:val="00DB086F"/>
    <w:pPr>
      <w:tabs>
        <w:tab w:val="center" w:pos="4513"/>
        <w:tab w:val="right" w:pos="9026"/>
      </w:tabs>
    </w:pPr>
  </w:style>
  <w:style w:type="character" w:customStyle="1" w:styleId="HeaderChar">
    <w:name w:val="Header Char"/>
    <w:basedOn w:val="DefaultParagraphFont"/>
    <w:link w:val="Header"/>
    <w:rsid w:val="00DB086F"/>
    <w:rPr>
      <w:rFonts w:ascii="Arial Narrow" w:eastAsia="Times New Roman" w:hAnsi="Arial Narrow" w:cs="Times New Roman"/>
      <w:kern w:val="0"/>
      <w:sz w:val="24"/>
      <w:szCs w:val="24"/>
      <w:lang w:eastAsia="en-GB"/>
      <w14:ligatures w14:val="none"/>
    </w:rPr>
  </w:style>
  <w:style w:type="paragraph" w:styleId="Footer">
    <w:name w:val="footer"/>
    <w:basedOn w:val="Normal"/>
    <w:link w:val="FooterChar"/>
    <w:uiPriority w:val="99"/>
    <w:rsid w:val="00DB086F"/>
    <w:pPr>
      <w:tabs>
        <w:tab w:val="center" w:pos="4513"/>
        <w:tab w:val="right" w:pos="9026"/>
      </w:tabs>
    </w:pPr>
  </w:style>
  <w:style w:type="character" w:customStyle="1" w:styleId="FooterChar">
    <w:name w:val="Footer Char"/>
    <w:basedOn w:val="DefaultParagraphFont"/>
    <w:link w:val="Footer"/>
    <w:uiPriority w:val="99"/>
    <w:rsid w:val="00DB086F"/>
    <w:rPr>
      <w:rFonts w:ascii="Arial Narrow" w:eastAsia="Times New Roman" w:hAnsi="Arial Narrow" w:cs="Times New Roman"/>
      <w:kern w:val="0"/>
      <w:sz w:val="24"/>
      <w:szCs w:val="24"/>
      <w:lang w:eastAsia="en-GB"/>
      <w14:ligatures w14:val="none"/>
    </w:rPr>
  </w:style>
  <w:style w:type="paragraph" w:styleId="ListBullet">
    <w:name w:val="List Bullet"/>
    <w:basedOn w:val="Normal"/>
    <w:autoRedefine/>
    <w:unhideWhenUsed/>
    <w:rsid w:val="00D83862"/>
    <w:pPr>
      <w:numPr>
        <w:numId w:val="1"/>
      </w:numPr>
      <w:spacing w:before="240" w:after="200" w:line="276" w:lineRule="auto"/>
      <w:contextualSpacing/>
    </w:pPr>
    <w:rPr>
      <w:rFonts w:ascii="Arial" w:hAnsi="Arial" w:cs="Arial"/>
      <w:sz w:val="20"/>
      <w:lang w:val="en-US" w:eastAsia="en-US"/>
    </w:rPr>
  </w:style>
  <w:style w:type="character" w:customStyle="1" w:styleId="runinheader">
    <w:name w:val="runinheader"/>
    <w:basedOn w:val="DefaultParagraphFont"/>
    <w:rsid w:val="00DB086F"/>
  </w:style>
  <w:style w:type="paragraph" w:styleId="ListNumber">
    <w:name w:val="List Number"/>
    <w:basedOn w:val="Normal"/>
    <w:uiPriority w:val="99"/>
    <w:unhideWhenUsed/>
    <w:rsid w:val="00DB086F"/>
    <w:pPr>
      <w:numPr>
        <w:numId w:val="11"/>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Turners Automotive Group Limited</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Burns</dc:creator>
  <cp:keywords/>
  <dc:description/>
  <cp:lastModifiedBy>Guy Bryden</cp:lastModifiedBy>
  <cp:revision>5</cp:revision>
  <dcterms:created xsi:type="dcterms:W3CDTF">2025-12-04T01:36:00Z</dcterms:created>
  <dcterms:modified xsi:type="dcterms:W3CDTF">2025-12-04T01:41:00Z</dcterms:modified>
</cp:coreProperties>
</file>